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8" w14:textId="3E3B4B4A" w:rsidR="008145D7" w:rsidRDefault="008145D7" w:rsidP="00836370">
      <w:pPr>
        <w:jc w:val="both"/>
        <w:rPr>
          <w:rFonts w:eastAsia="Times New Roman"/>
        </w:rPr>
      </w:pPr>
      <w:r>
        <w:rPr>
          <w:szCs w:val="22"/>
        </w:rPr>
        <w:t xml:space="preserve">Příloha č. </w:t>
      </w:r>
      <w:r w:rsidR="00AE63D3">
        <w:rPr>
          <w:szCs w:val="22"/>
        </w:rPr>
        <w:t>2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 xml:space="preserve">o poskytování služeb – </w:t>
      </w:r>
      <w:r w:rsidR="00836370" w:rsidRPr="00836370">
        <w:rPr>
          <w:rFonts w:eastAsia="Times New Roman" w:cs="Times New Roman"/>
          <w:lang w:eastAsia="cs-CZ"/>
        </w:rPr>
        <w:t>Provoz a údržba systému sledování polohy a spotřeby PHM u speciálních drážních vozidel OŘ OVA 2025–2027</w:t>
      </w:r>
      <w:r w:rsidR="00836370">
        <w:rPr>
          <w:rFonts w:eastAsia="Times New Roman" w:cs="Times New Roman"/>
          <w:lang w:eastAsia="cs-CZ"/>
        </w:rPr>
        <w:t xml:space="preserve"> </w:t>
      </w:r>
      <w:r w:rsidR="00C95F06"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836370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517C167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1.1 Správce a Zpracovatel uzavřeli Smlouvu o poskytování služeb – </w:t>
      </w:r>
      <w:r w:rsidR="00836370" w:rsidRPr="00836370">
        <w:rPr>
          <w:rFonts w:eastAsia="Times New Roman" w:cs="Times New Roman"/>
          <w:lang w:eastAsia="cs-CZ"/>
        </w:rPr>
        <w:t>Provoz a údržba systému sledování polohy a spotřeby PHM u speciálních drážních vozidel OŘ OVA 2025–2027</w:t>
      </w:r>
      <w:r w:rsidRPr="00C95F06">
        <w:rPr>
          <w:rFonts w:eastAsia="Times New Roman" w:cs="Times New Roman"/>
          <w:b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>“) ohledně provozu a údržby systému sledování polohy a spotřeby PHM u speciálních drážních vozidel, které jsou v majetku Objednatele, definované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836370" w:rsidRPr="00C95F06" w:rsidRDefault="00836370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205F5C21" w14:textId="29800A6E" w:rsidR="00836370" w:rsidRPr="00A16B6C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16B6C">
        <w:rPr>
          <w:rFonts w:eastAsia="Times New Roman" w:cs="Times New Roman"/>
          <w:i/>
          <w:iCs/>
          <w:lang w:eastAsia="cs-CZ"/>
        </w:rPr>
        <w:t>zaměstnanců Objednatele (Správce)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A16B6C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16B6C">
        <w:rPr>
          <w:rFonts w:eastAsia="Times New Roman" w:cs="Times New Roman"/>
          <w:lang w:eastAsia="cs-CZ"/>
        </w:rPr>
        <w:t>zpracovávat pro Správce následující typy osobních údajů:</w:t>
      </w:r>
    </w:p>
    <w:p w14:paraId="0472A805" w14:textId="3CE6A682" w:rsidR="00C95F06" w:rsidRPr="00A16B6C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16B6C">
        <w:rPr>
          <w:rFonts w:eastAsia="Times New Roman" w:cs="Times New Roman"/>
          <w:lang w:eastAsia="cs-CZ"/>
        </w:rPr>
        <w:t>[</w:t>
      </w:r>
      <w:r w:rsidRPr="00A16B6C">
        <w:rPr>
          <w:rFonts w:eastAsia="Times New Roman" w:cs="Times New Roman"/>
          <w:i/>
          <w:iCs/>
          <w:lang w:eastAsia="cs-CZ"/>
        </w:rPr>
        <w:t>identifikační a kontaktní údaje (jméno a příjmení</w:t>
      </w:r>
      <w:r w:rsidR="00A16B6C" w:rsidRPr="00A16B6C">
        <w:rPr>
          <w:rFonts w:eastAsia="Times New Roman" w:cs="Times New Roman"/>
          <w:i/>
          <w:iCs/>
          <w:lang w:eastAsia="cs-CZ"/>
        </w:rPr>
        <w:t xml:space="preserve">, </w:t>
      </w:r>
      <w:r w:rsidRPr="00A16B6C">
        <w:rPr>
          <w:rFonts w:eastAsia="Times New Roman" w:cs="Times New Roman"/>
          <w:i/>
          <w:iCs/>
          <w:lang w:eastAsia="cs-CZ"/>
        </w:rPr>
        <w:t>telefonní číslo, zaměstnanecké číslo, emailová adresa</w:t>
      </w:r>
      <w:r w:rsidRPr="00A16B6C">
        <w:rPr>
          <w:rFonts w:eastAsia="Times New Roman" w:cs="Times New Roman"/>
          <w:lang w:eastAsia="cs-CZ"/>
        </w:rPr>
        <w:t>)];</w:t>
      </w:r>
    </w:p>
    <w:p w14:paraId="237ADBF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45021387" w:rsidR="00C95F06" w:rsidRPr="00C95F06" w:rsidRDefault="00A16B6C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Pr="00A16B6C">
        <w:rPr>
          <w:rFonts w:eastAsia="Times New Roman" w:cs="Times New Roman"/>
          <w:lang w:eastAsia="cs-CZ"/>
        </w:rPr>
        <w:t xml:space="preserve"> ČR</w:t>
      </w:r>
      <w:r w:rsidR="00C95F06" w:rsidRPr="00A16B6C">
        <w:rPr>
          <w:rFonts w:eastAsia="Times New Roman" w:cs="Times New Roman"/>
          <w:lang w:eastAsia="cs-CZ"/>
        </w:rPr>
        <w:t>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173F2B8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836370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836370" w:rsidRPr="00C95F06" w:rsidRDefault="00836370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836370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836370" w:rsidRPr="00C95F06" w:rsidRDefault="00836370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 xml:space="preserve"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</w:t>
      </w:r>
      <w:proofErr w:type="gramStart"/>
      <w:r w:rsidRPr="00C95F06">
        <w:rPr>
          <w:rFonts w:eastAsia="Times New Roman" w:cs="Times New Roman"/>
          <w:lang w:eastAsia="cs-CZ"/>
        </w:rPr>
        <w:t>výjimkou</w:t>
      </w:r>
      <w:proofErr w:type="gramEnd"/>
      <w:r w:rsidRPr="00C95F06">
        <w:rPr>
          <w:rFonts w:eastAsia="Times New Roman" w:cs="Times New Roman"/>
          <w:lang w:eastAsia="cs-CZ"/>
        </w:rPr>
        <w:t xml:space="preserve">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836370" w:rsidRPr="00C95F06" w:rsidRDefault="00836370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3E3CB84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23026918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 xml:space="preserve">Zpracovatel povinen uhradit smluvní pokutu Správci ve výši </w:t>
      </w:r>
      <w:proofErr w:type="gramStart"/>
      <w:r w:rsidRPr="00C95F06">
        <w:rPr>
          <w:rFonts w:eastAsia="Times New Roman" w:cs="Times New Roman"/>
          <w:lang w:eastAsia="cs-CZ"/>
        </w:rPr>
        <w:t>50.000,-</w:t>
      </w:r>
      <w:proofErr w:type="gramEnd"/>
      <w:r w:rsidRPr="00C95F06">
        <w:rPr>
          <w:rFonts w:eastAsia="Times New Roman" w:cs="Times New Roman"/>
          <w:lang w:eastAsia="cs-CZ"/>
        </w:rPr>
        <w:t xml:space="preserve">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BA4D6" w14:textId="77777777" w:rsidR="000A38A9" w:rsidRDefault="000A38A9" w:rsidP="00962258">
      <w:pPr>
        <w:spacing w:after="0" w:line="240" w:lineRule="auto"/>
      </w:pPr>
      <w:r>
        <w:separator/>
      </w:r>
    </w:p>
  </w:endnote>
  <w:endnote w:type="continuationSeparator" w:id="0">
    <w:p w14:paraId="4AE044B8" w14:textId="77777777" w:rsidR="000A38A9" w:rsidRDefault="000A38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4CC1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614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D50975D" w14:textId="77777777" w:rsidR="00F1715C" w:rsidRDefault="00332490" w:rsidP="00460660">
          <w:pPr>
            <w:pStyle w:val="Zpat"/>
            <w:rPr>
              <w:b/>
              <w:bCs/>
            </w:rPr>
          </w:pPr>
          <w:r w:rsidRPr="00332490">
            <w:rPr>
              <w:b/>
              <w:bCs/>
            </w:rPr>
            <w:t>Oblastní ředitelství Ostrava</w:t>
          </w:r>
        </w:p>
        <w:p w14:paraId="63FF4401" w14:textId="77777777" w:rsidR="00332490" w:rsidRDefault="00332490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Muglinovská 1038/5</w:t>
          </w:r>
        </w:p>
        <w:p w14:paraId="59466B9A" w14:textId="2105ED9C" w:rsidR="00332490" w:rsidRPr="00332490" w:rsidRDefault="00332490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702 00 Ostrava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28896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B33896" id="Straight Connector 7" o:spid="_x0000_s1026" style="position:absolute;z-index:-251587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C6F3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E7064" w14:textId="77777777" w:rsidR="000A38A9" w:rsidRDefault="000A38A9" w:rsidP="00962258">
      <w:pPr>
        <w:spacing w:after="0" w:line="240" w:lineRule="auto"/>
      </w:pPr>
      <w:r>
        <w:separator/>
      </w:r>
    </w:p>
  </w:footnote>
  <w:footnote w:type="continuationSeparator" w:id="0">
    <w:p w14:paraId="6AE8FCC9" w14:textId="77777777" w:rsidR="000A38A9" w:rsidRDefault="000A38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7AFE8" w14:textId="266BF535" w:rsidR="00836370" w:rsidRDefault="008363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1D2FE2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5C44ADF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555437024">
    <w:abstractNumId w:val="3"/>
  </w:num>
  <w:num w:numId="2" w16cid:durableId="227611612">
    <w:abstractNumId w:val="1"/>
  </w:num>
  <w:num w:numId="3" w16cid:durableId="358824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15565">
    <w:abstractNumId w:val="9"/>
  </w:num>
  <w:num w:numId="5" w16cid:durableId="25446845">
    <w:abstractNumId w:val="4"/>
  </w:num>
  <w:num w:numId="6" w16cid:durableId="794370483">
    <w:abstractNumId w:val="6"/>
  </w:num>
  <w:num w:numId="7" w16cid:durableId="1270506206">
    <w:abstractNumId w:val="0"/>
  </w:num>
  <w:num w:numId="8" w16cid:durableId="160195216">
    <w:abstractNumId w:val="7"/>
  </w:num>
  <w:num w:numId="9" w16cid:durableId="8254373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3110701">
    <w:abstractNumId w:val="6"/>
  </w:num>
  <w:num w:numId="11" w16cid:durableId="1363170330">
    <w:abstractNumId w:val="1"/>
  </w:num>
  <w:num w:numId="12" w16cid:durableId="588349105">
    <w:abstractNumId w:val="6"/>
  </w:num>
  <w:num w:numId="13" w16cid:durableId="1599022174">
    <w:abstractNumId w:val="6"/>
  </w:num>
  <w:num w:numId="14" w16cid:durableId="205069698">
    <w:abstractNumId w:val="6"/>
  </w:num>
  <w:num w:numId="15" w16cid:durableId="2125419413">
    <w:abstractNumId w:val="6"/>
  </w:num>
  <w:num w:numId="16" w16cid:durableId="1487471228">
    <w:abstractNumId w:val="10"/>
  </w:num>
  <w:num w:numId="17" w16cid:durableId="955135593">
    <w:abstractNumId w:val="3"/>
  </w:num>
  <w:num w:numId="18" w16cid:durableId="2035383496">
    <w:abstractNumId w:val="10"/>
  </w:num>
  <w:num w:numId="19" w16cid:durableId="147668889">
    <w:abstractNumId w:val="10"/>
  </w:num>
  <w:num w:numId="20" w16cid:durableId="852301307">
    <w:abstractNumId w:val="10"/>
  </w:num>
  <w:num w:numId="21" w16cid:durableId="1623219808">
    <w:abstractNumId w:val="10"/>
  </w:num>
  <w:num w:numId="22" w16cid:durableId="1022509981">
    <w:abstractNumId w:val="6"/>
  </w:num>
  <w:num w:numId="23" w16cid:durableId="878590427">
    <w:abstractNumId w:val="1"/>
  </w:num>
  <w:num w:numId="24" w16cid:durableId="653069170">
    <w:abstractNumId w:val="6"/>
  </w:num>
  <w:num w:numId="25" w16cid:durableId="1938635590">
    <w:abstractNumId w:val="6"/>
  </w:num>
  <w:num w:numId="26" w16cid:durableId="131480175">
    <w:abstractNumId w:val="6"/>
  </w:num>
  <w:num w:numId="27" w16cid:durableId="448206173">
    <w:abstractNumId w:val="6"/>
  </w:num>
  <w:num w:numId="28" w16cid:durableId="112293123">
    <w:abstractNumId w:val="10"/>
  </w:num>
  <w:num w:numId="29" w16cid:durableId="165367812">
    <w:abstractNumId w:val="3"/>
  </w:num>
  <w:num w:numId="30" w16cid:durableId="2139105540">
    <w:abstractNumId w:val="10"/>
  </w:num>
  <w:num w:numId="31" w16cid:durableId="1814519871">
    <w:abstractNumId w:val="10"/>
  </w:num>
  <w:num w:numId="32" w16cid:durableId="545801015">
    <w:abstractNumId w:val="10"/>
  </w:num>
  <w:num w:numId="33" w16cid:durableId="330062968">
    <w:abstractNumId w:val="10"/>
  </w:num>
  <w:num w:numId="34" w16cid:durableId="558826820">
    <w:abstractNumId w:val="2"/>
  </w:num>
  <w:num w:numId="35" w16cid:durableId="61848845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271B1"/>
    <w:rsid w:val="00072C1E"/>
    <w:rsid w:val="000A38A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2490"/>
    <w:rsid w:val="003401F1"/>
    <w:rsid w:val="00341DCF"/>
    <w:rsid w:val="00357BC6"/>
    <w:rsid w:val="00360418"/>
    <w:rsid w:val="003956C6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7681E"/>
    <w:rsid w:val="005F1404"/>
    <w:rsid w:val="0061068E"/>
    <w:rsid w:val="00660AD3"/>
    <w:rsid w:val="00677B7F"/>
    <w:rsid w:val="006A5570"/>
    <w:rsid w:val="006A629C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6370"/>
    <w:rsid w:val="00837D64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B6C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17CA2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21C274-03FE-465B-B6A3-1932338051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48</TotalTime>
  <Pages>3</Pages>
  <Words>899</Words>
  <Characters>5309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14</cp:revision>
  <cp:lastPrinted>2017-11-28T17:18:00Z</cp:lastPrinted>
  <dcterms:created xsi:type="dcterms:W3CDTF">2021-02-24T07:51:00Z</dcterms:created>
  <dcterms:modified xsi:type="dcterms:W3CDTF">2025-06-20T07:00:00Z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